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D3D" w:rsidRDefault="00A65DE0">
      <w:pPr>
        <w:pStyle w:val="ConsPlusNonformat"/>
        <w:jc w:val="center"/>
        <w:rPr>
          <w:sz w:val="24"/>
          <w:szCs w:val="24"/>
        </w:rPr>
      </w:pPr>
      <w:r>
        <w:rPr>
          <w:rFonts w:ascii="Tinos" w:hAnsi="Tinos" w:cs="Times New Roman"/>
          <w:b/>
          <w:bCs/>
          <w:color w:val="000000"/>
          <w:sz w:val="24"/>
          <w:szCs w:val="24"/>
        </w:rPr>
        <w:t xml:space="preserve">Сводный </w:t>
      </w:r>
      <w:proofErr w:type="gramStart"/>
      <w:r>
        <w:rPr>
          <w:rFonts w:ascii="Tinos" w:hAnsi="Tinos" w:cs="Times New Roman"/>
          <w:b/>
          <w:bCs/>
          <w:color w:val="000000"/>
          <w:sz w:val="24"/>
          <w:szCs w:val="24"/>
        </w:rPr>
        <w:t>отчёт  проекта</w:t>
      </w:r>
      <w:proofErr w:type="gramEnd"/>
      <w:r>
        <w:rPr>
          <w:rFonts w:ascii="Tinos" w:hAnsi="Tinos" w:cs="Times New Roman"/>
          <w:b/>
          <w:bCs/>
          <w:color w:val="000000"/>
          <w:sz w:val="24"/>
          <w:szCs w:val="24"/>
        </w:rPr>
        <w:t xml:space="preserve"> муниципального  нормативного</w:t>
      </w:r>
    </w:p>
    <w:p w:rsidR="00C85D3D" w:rsidRDefault="00A65DE0">
      <w:pPr>
        <w:pStyle w:val="ConsPlusNonformat"/>
        <w:jc w:val="center"/>
        <w:rPr>
          <w:sz w:val="24"/>
          <w:szCs w:val="24"/>
        </w:rPr>
      </w:pPr>
      <w:r>
        <w:rPr>
          <w:rFonts w:ascii="Tinos" w:hAnsi="Tinos" w:cs="Times New Roman"/>
          <w:b/>
          <w:bCs/>
          <w:color w:val="000000"/>
          <w:sz w:val="24"/>
          <w:szCs w:val="24"/>
        </w:rPr>
        <w:t xml:space="preserve"> правового акта</w:t>
      </w:r>
    </w:p>
    <w:p w:rsidR="00C85D3D" w:rsidRDefault="00C85D3D">
      <w:pPr>
        <w:pStyle w:val="ConsPlusNonformat"/>
        <w:jc w:val="center"/>
        <w:rPr>
          <w:rFonts w:ascii="Tinos" w:hAnsi="Tinos" w:cs="Times New Roman"/>
          <w:color w:val="000000"/>
          <w:sz w:val="24"/>
          <w:szCs w:val="24"/>
        </w:rPr>
      </w:pPr>
    </w:p>
    <w:p w:rsidR="00C85D3D" w:rsidRDefault="00A65DE0">
      <w:pPr>
        <w:pStyle w:val="ConsPlusNonformat"/>
        <w:ind w:left="-567"/>
        <w:jc w:val="both"/>
        <w:rPr>
          <w:sz w:val="24"/>
          <w:szCs w:val="24"/>
        </w:rPr>
      </w:pPr>
      <w:r>
        <w:rPr>
          <w:rFonts w:ascii="Tinos" w:hAnsi="Tinos" w:cs="Times New Roman"/>
          <w:b/>
          <w:bCs/>
          <w:color w:val="000000"/>
          <w:sz w:val="24"/>
          <w:szCs w:val="24"/>
        </w:rPr>
        <w:t>1. Разработчик проекта муниципального нормативного правового акта:</w:t>
      </w:r>
      <w:r>
        <w:rPr>
          <w:rFonts w:ascii="Tinos" w:hAnsi="Tinos" w:cs="Times New Roman"/>
          <w:color w:val="000000"/>
          <w:sz w:val="24"/>
          <w:szCs w:val="24"/>
        </w:rPr>
        <w:t xml:space="preserve"> Отдел экономики, предпринимательства и потребительского </w:t>
      </w:r>
      <w:proofErr w:type="gramStart"/>
      <w:r>
        <w:rPr>
          <w:rFonts w:ascii="Tinos" w:hAnsi="Tinos" w:cs="Times New Roman"/>
          <w:color w:val="000000"/>
          <w:sz w:val="24"/>
          <w:szCs w:val="24"/>
        </w:rPr>
        <w:t>ры</w:t>
      </w:r>
      <w:bookmarkStart w:id="0" w:name="_GoBack"/>
      <w:bookmarkEnd w:id="0"/>
      <w:r>
        <w:rPr>
          <w:rFonts w:ascii="Tinos" w:hAnsi="Tinos" w:cs="Times New Roman"/>
          <w:color w:val="000000"/>
          <w:sz w:val="24"/>
          <w:szCs w:val="24"/>
        </w:rPr>
        <w:t>нка  администрации</w:t>
      </w:r>
      <w:proofErr w:type="gramEnd"/>
      <w:r>
        <w:rPr>
          <w:rFonts w:ascii="Tinos" w:hAnsi="Tinos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nos" w:hAnsi="Tinos" w:cs="Times New Roman"/>
          <w:color w:val="000000"/>
          <w:sz w:val="24"/>
          <w:szCs w:val="24"/>
        </w:rPr>
        <w:t>Кирсановского</w:t>
      </w:r>
      <w:proofErr w:type="spellEnd"/>
      <w:r>
        <w:rPr>
          <w:rFonts w:ascii="Tinos" w:hAnsi="Tinos" w:cs="Times New Roman"/>
          <w:color w:val="000000"/>
          <w:sz w:val="24"/>
          <w:szCs w:val="24"/>
        </w:rPr>
        <w:t xml:space="preserve"> муниципального округа </w:t>
      </w:r>
    </w:p>
    <w:p w:rsidR="00C85D3D" w:rsidRDefault="00A65DE0" w:rsidP="00A65DE0">
      <w:pPr>
        <w:ind w:left="-567" w:firstLine="567"/>
        <w:jc w:val="both"/>
      </w:pPr>
      <w:r>
        <w:rPr>
          <w:rFonts w:ascii="Tinos" w:hAnsi="Tinos"/>
          <w:b/>
          <w:bCs/>
          <w:color w:val="000000"/>
        </w:rPr>
        <w:t xml:space="preserve">2. Вид и наименование проекта муниципального нормативного правового акта </w:t>
      </w:r>
      <w:r>
        <w:rPr>
          <w:rFonts w:ascii="Tinos" w:hAnsi="Tinos"/>
          <w:color w:val="000000"/>
        </w:rPr>
        <w:t xml:space="preserve">(далее — муниципальный акт) </w:t>
      </w:r>
      <w:r>
        <w:rPr>
          <w:rFonts w:ascii="Tinos" w:hAnsi="Tinos"/>
          <w:bCs/>
          <w:color w:val="000000"/>
          <w:kern w:val="2"/>
          <w:shd w:val="clear" w:color="auto" w:fill="FFFFFF"/>
          <w:lang w:eastAsia="ru-RU" w:bidi="hi-IN"/>
        </w:rPr>
        <w:t>Проект постановление</w:t>
      </w:r>
      <w:r>
        <w:rPr>
          <w:rFonts w:ascii="Tinos" w:hAnsi="Tinos"/>
          <w:color w:val="000000"/>
          <w:kern w:val="2"/>
          <w:shd w:val="clear" w:color="auto" w:fill="FFFFFF"/>
          <w:lang w:eastAsia="ru-RU" w:bidi="hi-IN"/>
        </w:rPr>
        <w:t xml:space="preserve"> </w:t>
      </w:r>
      <w:r w:rsidRPr="00A65DE0">
        <w:rPr>
          <w:rFonts w:ascii="Tinos" w:hAnsi="Tinos"/>
          <w:color w:val="000000"/>
          <w:kern w:val="2"/>
          <w:shd w:val="clear" w:color="auto" w:fill="FFFFFF"/>
          <w:lang w:eastAsia="ru-RU" w:bidi="hi-IN"/>
        </w:rPr>
        <w:t>«</w:t>
      </w:r>
      <w:r w:rsidRPr="00A65DE0">
        <w:rPr>
          <w:sz w:val="28"/>
          <w:szCs w:val="28"/>
        </w:rPr>
        <w:t xml:space="preserve">О внесении изменений в решение Совета депутатов </w:t>
      </w:r>
      <w:proofErr w:type="spellStart"/>
      <w:r w:rsidRPr="00A65DE0">
        <w:rPr>
          <w:sz w:val="28"/>
          <w:szCs w:val="28"/>
        </w:rPr>
        <w:t>Кирсановского</w:t>
      </w:r>
      <w:proofErr w:type="spellEnd"/>
      <w:r w:rsidRPr="00A65DE0">
        <w:rPr>
          <w:sz w:val="28"/>
          <w:szCs w:val="28"/>
        </w:rPr>
        <w:t xml:space="preserve"> муниципального округа от 22.02.2024 № 172 «Об утверждении порядка проведения оценки регулирующего воздействия проектов муниципальных нормативных правовых актов </w:t>
      </w:r>
      <w:proofErr w:type="spellStart"/>
      <w:r w:rsidRPr="00A65DE0">
        <w:rPr>
          <w:sz w:val="28"/>
          <w:szCs w:val="28"/>
        </w:rPr>
        <w:t>Кирсановского</w:t>
      </w:r>
      <w:proofErr w:type="spellEnd"/>
      <w:r w:rsidRPr="00A65DE0">
        <w:rPr>
          <w:sz w:val="28"/>
          <w:szCs w:val="28"/>
        </w:rPr>
        <w:t xml:space="preserve"> муниципального округа Тамбовской области и экспертизы муниципальных нормативных правовых актов </w:t>
      </w:r>
      <w:proofErr w:type="spellStart"/>
      <w:r w:rsidRPr="00A65DE0">
        <w:rPr>
          <w:sz w:val="28"/>
          <w:szCs w:val="28"/>
        </w:rPr>
        <w:t>Кирсановского</w:t>
      </w:r>
      <w:proofErr w:type="spellEnd"/>
      <w:r w:rsidRPr="00A65DE0">
        <w:rPr>
          <w:sz w:val="28"/>
          <w:szCs w:val="28"/>
        </w:rPr>
        <w:t xml:space="preserve"> муниципального округа Тамбовской области»</w:t>
      </w:r>
      <w:r w:rsidRPr="00B411AA">
        <w:rPr>
          <w:sz w:val="26"/>
          <w:szCs w:val="26"/>
        </w:rPr>
        <w:t xml:space="preserve"> </w:t>
      </w:r>
    </w:p>
    <w:p w:rsidR="00C85D3D" w:rsidRDefault="00A65DE0">
      <w:pPr>
        <w:pStyle w:val="ConsPlusNonformat"/>
        <w:ind w:left="-567" w:hanging="11"/>
        <w:rPr>
          <w:sz w:val="24"/>
          <w:szCs w:val="24"/>
        </w:rPr>
      </w:pPr>
      <w:r>
        <w:rPr>
          <w:rFonts w:ascii="Tinos" w:hAnsi="Tinos" w:cs="Times New Roman"/>
          <w:color w:val="000000"/>
          <w:sz w:val="24"/>
          <w:szCs w:val="24"/>
        </w:rPr>
        <w:t>К</w:t>
      </w:r>
      <w:r>
        <w:rPr>
          <w:rFonts w:ascii="Tinos" w:hAnsi="Tinos" w:cs="Times New Roman"/>
          <w:color w:val="000000"/>
          <w:sz w:val="24"/>
          <w:szCs w:val="24"/>
        </w:rPr>
        <w:t>онтактная информация исп</w:t>
      </w:r>
      <w:r>
        <w:rPr>
          <w:rFonts w:ascii="Tinos" w:hAnsi="Tinos" w:cs="Times New Roman"/>
          <w:color w:val="000000"/>
          <w:sz w:val="24"/>
          <w:szCs w:val="24"/>
        </w:rPr>
        <w:t>олнителя разработчика:</w:t>
      </w:r>
    </w:p>
    <w:p w:rsidR="00C85D3D" w:rsidRDefault="00A65DE0">
      <w:pPr>
        <w:pStyle w:val="ConsPlusNonformat"/>
        <w:ind w:left="-567" w:hanging="11"/>
      </w:pPr>
      <w:r>
        <w:rPr>
          <w:rFonts w:ascii="Tinos" w:hAnsi="Tinos" w:cs="Times New Roman"/>
          <w:color w:val="000000"/>
          <w:sz w:val="24"/>
          <w:szCs w:val="24"/>
        </w:rPr>
        <w:t xml:space="preserve">Ф. И. О.: </w:t>
      </w:r>
      <w:proofErr w:type="spellStart"/>
      <w:r>
        <w:rPr>
          <w:rStyle w:val="FontStyle13"/>
          <w:rFonts w:ascii="Tinos" w:hAnsi="Tinos"/>
          <w:color w:val="000000"/>
          <w:sz w:val="24"/>
          <w:szCs w:val="24"/>
        </w:rPr>
        <w:t>Чекранова</w:t>
      </w:r>
      <w:proofErr w:type="spellEnd"/>
      <w:r>
        <w:rPr>
          <w:rStyle w:val="FontStyle13"/>
          <w:rFonts w:ascii="Tinos" w:hAnsi="Tinos"/>
          <w:color w:val="000000"/>
          <w:sz w:val="24"/>
          <w:szCs w:val="24"/>
        </w:rPr>
        <w:t xml:space="preserve"> Е. Ю.</w:t>
      </w:r>
    </w:p>
    <w:p w:rsidR="00C85D3D" w:rsidRDefault="00A65DE0">
      <w:pPr>
        <w:pStyle w:val="ConsPlusNonformat"/>
        <w:ind w:left="-567" w:hanging="11"/>
        <w:jc w:val="both"/>
        <w:rPr>
          <w:sz w:val="24"/>
          <w:szCs w:val="24"/>
        </w:rPr>
      </w:pPr>
      <w:r>
        <w:rPr>
          <w:rFonts w:ascii="Tinos" w:hAnsi="Tinos" w:cs="Times New Roman"/>
          <w:color w:val="000000"/>
          <w:sz w:val="24"/>
          <w:szCs w:val="24"/>
        </w:rPr>
        <w:t>Должность: начальник отдела экономики, предпринимательства и потребительского рынка администрации муниципального округа</w:t>
      </w:r>
    </w:p>
    <w:p w:rsidR="00C85D3D" w:rsidRDefault="00A65DE0">
      <w:pPr>
        <w:pStyle w:val="ConsPlusNonformat"/>
        <w:ind w:left="-567" w:hanging="11"/>
        <w:rPr>
          <w:sz w:val="24"/>
          <w:szCs w:val="24"/>
        </w:rPr>
      </w:pPr>
      <w:r>
        <w:rPr>
          <w:rFonts w:ascii="Tinos" w:hAnsi="Tinos" w:cs="Times New Roman"/>
          <w:color w:val="000000"/>
          <w:sz w:val="24"/>
          <w:szCs w:val="24"/>
        </w:rPr>
        <w:t>Тел.: 8 475 37 3 45 85</w:t>
      </w:r>
    </w:p>
    <w:p w:rsidR="00C85D3D" w:rsidRDefault="00A65DE0">
      <w:pPr>
        <w:pStyle w:val="ConsPlusNonformat"/>
        <w:ind w:left="-567" w:hanging="11"/>
        <w:rPr>
          <w:sz w:val="24"/>
          <w:szCs w:val="24"/>
        </w:rPr>
      </w:pPr>
      <w:r>
        <w:rPr>
          <w:rFonts w:ascii="Tinos" w:hAnsi="Tinos" w:cs="Times New Roman"/>
          <w:color w:val="000000"/>
          <w:sz w:val="24"/>
          <w:szCs w:val="24"/>
        </w:rPr>
        <w:t>Адрес электронной почты: ekon@r37.tambov.gov.ru</w:t>
      </w:r>
    </w:p>
    <w:p w:rsidR="00C85D3D" w:rsidRDefault="00A65DE0">
      <w:pPr>
        <w:pStyle w:val="ConsPlusNormal"/>
        <w:ind w:left="-567" w:hanging="11"/>
        <w:jc w:val="both"/>
        <w:rPr>
          <w:sz w:val="24"/>
          <w:szCs w:val="24"/>
        </w:rPr>
      </w:pPr>
      <w:r>
        <w:rPr>
          <w:rFonts w:ascii="Tinos" w:hAnsi="Tinos" w:cs="Times New Roman"/>
          <w:b/>
          <w:bCs/>
          <w:color w:val="000000"/>
          <w:sz w:val="24"/>
          <w:szCs w:val="24"/>
        </w:rPr>
        <w:t xml:space="preserve">3. Обязательные </w:t>
      </w:r>
      <w:r>
        <w:rPr>
          <w:rFonts w:ascii="Tinos" w:hAnsi="Tinos" w:cs="Times New Roman"/>
          <w:b/>
          <w:bCs/>
          <w:color w:val="000000"/>
          <w:sz w:val="24"/>
          <w:szCs w:val="24"/>
        </w:rPr>
        <w:t>сведения о проекте муниципального акта:</w:t>
      </w:r>
    </w:p>
    <w:p w:rsidR="00C85D3D" w:rsidRDefault="00A65DE0">
      <w:pPr>
        <w:pStyle w:val="ConsPlusNormal"/>
        <w:ind w:left="-567" w:hanging="11"/>
        <w:jc w:val="both"/>
        <w:rPr>
          <w:sz w:val="24"/>
          <w:szCs w:val="24"/>
        </w:rPr>
      </w:pPr>
      <w:r>
        <w:rPr>
          <w:rFonts w:ascii="Tinos" w:hAnsi="Tinos" w:cs="Times New Roman"/>
          <w:color w:val="000000"/>
          <w:sz w:val="24"/>
          <w:szCs w:val="24"/>
        </w:rPr>
        <w:t>3.1. Степень регулирующего воздействия проекта муниципального акта: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низкая.</w:t>
      </w:r>
      <w:r>
        <w:rPr>
          <w:rFonts w:ascii="Tinos" w:hAnsi="Tinos" w:cs="Times New Roman"/>
          <w:color w:val="000000"/>
          <w:sz w:val="24"/>
          <w:szCs w:val="24"/>
        </w:rPr>
        <w:t>;</w:t>
      </w:r>
    </w:p>
    <w:p w:rsidR="00C85D3D" w:rsidRDefault="00A65DE0">
      <w:pPr>
        <w:pStyle w:val="ConsPlusNormal"/>
        <w:ind w:left="-567" w:hanging="11"/>
        <w:jc w:val="both"/>
      </w:pPr>
      <w:bookmarkStart w:id="1" w:name="Par1351"/>
      <w:bookmarkEnd w:id="1"/>
      <w:r>
        <w:rPr>
          <w:rFonts w:ascii="Tinos" w:hAnsi="Tinos" w:cs="Times New Roman"/>
          <w:color w:val="000000"/>
          <w:sz w:val="24"/>
          <w:szCs w:val="24"/>
        </w:rPr>
        <w:t>3.2. Описание проблемы на решение которой направлен предлагаемый способ регулирования, оценка негативных эффектов, возникающих в связи с на</w:t>
      </w:r>
      <w:r>
        <w:rPr>
          <w:rFonts w:ascii="Tinos" w:hAnsi="Tinos" w:cs="Times New Roman"/>
          <w:color w:val="000000"/>
          <w:sz w:val="24"/>
          <w:szCs w:val="24"/>
        </w:rPr>
        <w:t xml:space="preserve">личием рассматриваемой </w:t>
      </w:r>
      <w:proofErr w:type="gramStart"/>
      <w:r>
        <w:rPr>
          <w:rFonts w:ascii="Tinos" w:hAnsi="Tinos" w:cs="Times New Roman"/>
          <w:color w:val="000000"/>
          <w:sz w:val="24"/>
          <w:szCs w:val="24"/>
        </w:rPr>
        <w:t xml:space="preserve">проблемы: </w:t>
      </w:r>
      <w:r>
        <w:rPr>
          <w:rStyle w:val="1"/>
          <w:b/>
          <w:color w:val="000000"/>
          <w:sz w:val="24"/>
          <w:szCs w:val="24"/>
        </w:rPr>
        <w:t xml:space="preserve"> </w:t>
      </w:r>
      <w:r>
        <w:rPr>
          <w:rFonts w:ascii="Tinos" w:hAnsi="Tinos" w:cs="Times New Roman"/>
          <w:color w:val="000000"/>
          <w:sz w:val="24"/>
          <w:szCs w:val="24"/>
        </w:rPr>
        <w:t>В</w:t>
      </w:r>
      <w:proofErr w:type="gramEnd"/>
      <w:r>
        <w:rPr>
          <w:rFonts w:ascii="Tinos" w:hAnsi="Tinos" w:cs="Times New Roman"/>
          <w:color w:val="000000"/>
          <w:sz w:val="24"/>
          <w:szCs w:val="24"/>
        </w:rPr>
        <w:t xml:space="preserve"> целях приведения нормативных правовых актов администрации муниципального округа в соответствие с действующим законодательством</w:t>
      </w:r>
      <w:r>
        <w:rPr>
          <w:rStyle w:val="1"/>
          <w:color w:val="000000"/>
          <w:sz w:val="24"/>
          <w:szCs w:val="24"/>
        </w:rPr>
        <w:t>;</w:t>
      </w:r>
    </w:p>
    <w:p w:rsidR="00C85D3D" w:rsidRDefault="00A65DE0">
      <w:pPr>
        <w:pStyle w:val="ConsPlusNormal"/>
        <w:ind w:left="-567" w:hanging="11"/>
        <w:jc w:val="both"/>
        <w:rPr>
          <w:sz w:val="24"/>
          <w:szCs w:val="24"/>
        </w:rPr>
      </w:pPr>
      <w:r>
        <w:rPr>
          <w:rFonts w:ascii="Tinos" w:hAnsi="Tinos" w:cs="Times New Roman"/>
          <w:color w:val="000000"/>
          <w:sz w:val="24"/>
          <w:szCs w:val="24"/>
        </w:rPr>
        <w:t>3.3. Анализ опыта иных муниципальных образований в соответствующих сферах деятельности: нет;</w:t>
      </w:r>
    </w:p>
    <w:p w:rsidR="00C85D3D" w:rsidRDefault="00A65DE0">
      <w:pPr>
        <w:pStyle w:val="ConsPlusNormal"/>
        <w:ind w:left="-567" w:hanging="11"/>
        <w:jc w:val="both"/>
      </w:pPr>
      <w:bookmarkStart w:id="2" w:name="Par1371"/>
      <w:bookmarkEnd w:id="2"/>
      <w:r>
        <w:rPr>
          <w:rFonts w:ascii="Tinos" w:hAnsi="Tinos" w:cs="Times New Roman"/>
          <w:color w:val="000000"/>
          <w:sz w:val="24"/>
          <w:szCs w:val="24"/>
        </w:rPr>
        <w:t xml:space="preserve">3.4. Цели предлагаемого регулирования и их соответствие принципам правового регулирования: </w:t>
      </w:r>
      <w:proofErr w:type="gramStart"/>
      <w:r>
        <w:rPr>
          <w:rStyle w:val="1"/>
          <w:rFonts w:eastAsia="SimSun;宋体"/>
          <w:color w:val="000000"/>
          <w:kern w:val="2"/>
          <w:sz w:val="24"/>
          <w:szCs w:val="24"/>
          <w:lang w:bidi="hi-IN"/>
        </w:rPr>
        <w:t>привлечение</w:t>
      </w:r>
      <w:bookmarkStart w:id="3" w:name="__DdeLink__2536_3837800634"/>
      <w:r>
        <w:rPr>
          <w:rStyle w:val="1"/>
          <w:rFonts w:eastAsia="SimSun;宋体"/>
          <w:color w:val="000000"/>
          <w:kern w:val="2"/>
          <w:sz w:val="24"/>
          <w:szCs w:val="24"/>
          <w:lang w:bidi="hi-IN"/>
        </w:rPr>
        <w:t xml:space="preserve"> </w:t>
      </w:r>
      <w:bookmarkEnd w:id="3"/>
      <w:r>
        <w:rPr>
          <w:rStyle w:val="1"/>
          <w:rFonts w:eastAsia="SimSun;宋体"/>
          <w:color w:val="000000"/>
          <w:kern w:val="2"/>
          <w:sz w:val="24"/>
          <w:szCs w:val="24"/>
          <w:lang w:bidi="hi-IN"/>
        </w:rPr>
        <w:t xml:space="preserve"> субъектов</w:t>
      </w:r>
      <w:proofErr w:type="gramEnd"/>
      <w:r>
        <w:rPr>
          <w:rStyle w:val="1"/>
          <w:rFonts w:eastAsia="SimSun;宋体"/>
          <w:color w:val="000000"/>
          <w:kern w:val="2"/>
          <w:sz w:val="24"/>
          <w:szCs w:val="24"/>
          <w:lang w:bidi="hi-IN"/>
        </w:rPr>
        <w:t xml:space="preserve">  предпринимательской и иной экономической деятельности</w:t>
      </w:r>
      <w:r>
        <w:rPr>
          <w:rStyle w:val="1"/>
          <w:rFonts w:ascii="Tinos" w:eastAsia="SimSun;宋体" w:hAnsi="Tinos"/>
          <w:color w:val="000000"/>
          <w:kern w:val="2"/>
          <w:sz w:val="24"/>
          <w:szCs w:val="24"/>
          <w:lang w:bidi="hi-IN"/>
        </w:rPr>
        <w:t>;</w:t>
      </w:r>
    </w:p>
    <w:p w:rsidR="00C85D3D" w:rsidRDefault="00A65DE0">
      <w:pPr>
        <w:pStyle w:val="ConsPlusNormal"/>
        <w:ind w:left="-567" w:hanging="11"/>
        <w:jc w:val="both"/>
        <w:rPr>
          <w:sz w:val="24"/>
          <w:szCs w:val="24"/>
        </w:rPr>
      </w:pPr>
      <w:r>
        <w:rPr>
          <w:rFonts w:ascii="Tinos" w:hAnsi="Tinos" w:cs="Times New Roman"/>
          <w:color w:val="000000"/>
          <w:sz w:val="24"/>
          <w:szCs w:val="24"/>
        </w:rPr>
        <w:t>3.5.  Описание предлагаемого регулирования и иных возможных способов решения проблемы</w:t>
      </w:r>
      <w:r>
        <w:rPr>
          <w:rFonts w:ascii="Tinos" w:hAnsi="Tinos" w:cs="Times New Roman"/>
          <w:color w:val="000000"/>
          <w:sz w:val="24"/>
          <w:szCs w:val="24"/>
        </w:rPr>
        <w:t>: в целях приведения нормативных правовых актов администрации муниципального округа в соответствие с действующим законодательством;</w:t>
      </w:r>
    </w:p>
    <w:p w:rsidR="00C85D3D" w:rsidRDefault="00A65DE0">
      <w:pPr>
        <w:pStyle w:val="ConsPlusNormal"/>
        <w:ind w:left="-567" w:hanging="11"/>
        <w:jc w:val="both"/>
        <w:rPr>
          <w:sz w:val="24"/>
          <w:szCs w:val="24"/>
        </w:rPr>
      </w:pPr>
      <w:bookmarkStart w:id="4" w:name="Par1391"/>
      <w:bookmarkEnd w:id="4"/>
      <w:r>
        <w:rPr>
          <w:rFonts w:ascii="Tinos" w:hAnsi="Tinos" w:cs="Times New Roman"/>
          <w:color w:val="000000"/>
          <w:sz w:val="24"/>
          <w:szCs w:val="24"/>
        </w:rPr>
        <w:t>3.6. Основные группы субъектов предпринимательской и иной экономической деятельности, иные заинтересованные лица, включая ор</w:t>
      </w:r>
      <w:r>
        <w:rPr>
          <w:rFonts w:ascii="Tinos" w:hAnsi="Tinos" w:cs="Times New Roman"/>
          <w:color w:val="000000"/>
          <w:sz w:val="24"/>
          <w:szCs w:val="24"/>
        </w:rPr>
        <w:t>ганы местного самоуправления, интересы которых будут затронуты предлагаемым правовым регулированием, оценка количества таких субъектов;</w:t>
      </w:r>
    </w:p>
    <w:tbl>
      <w:tblPr>
        <w:tblW w:w="10051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3843"/>
        <w:gridCol w:w="3200"/>
        <w:gridCol w:w="3008"/>
      </w:tblGrid>
      <w:tr w:rsidR="00C85D3D"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5D3D" w:rsidRDefault="00A65DE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3.6.1 Группа участников отношений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5D3D" w:rsidRDefault="00A65DE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3.6.2 Оценка количества участников отношений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D3D" w:rsidRDefault="00A65DE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3.6.3Источники данных</w:t>
            </w:r>
          </w:p>
        </w:tc>
      </w:tr>
      <w:tr w:rsidR="00C85D3D"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5D3D" w:rsidRDefault="00A65DE0">
            <w:pPr>
              <w:pStyle w:val="ad"/>
              <w:jc w:val="both"/>
            </w:pPr>
            <w:r>
              <w:rPr>
                <w:rStyle w:val="fontstyle21"/>
                <w:rFonts w:ascii="Times New Roman" w:eastAsia="Calibri" w:hAnsi="Times New Roman" w:cs="Times New Roman"/>
                <w:sz w:val="24"/>
                <w:szCs w:val="24"/>
              </w:rPr>
              <w:t>Субъекты МСП</w:t>
            </w:r>
          </w:p>
          <w:p w:rsidR="00C85D3D" w:rsidRDefault="00A65DE0">
            <w:pPr>
              <w:pStyle w:val="ad"/>
              <w:jc w:val="both"/>
              <w:rPr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Юридические и физические лица.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5D3D" w:rsidRDefault="00A65DE0">
            <w:pPr>
              <w:pStyle w:val="ad"/>
              <w:jc w:val="both"/>
              <w:rPr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Не ограничено</w:t>
            </w:r>
          </w:p>
          <w:p w:rsidR="00C85D3D" w:rsidRDefault="00A65DE0">
            <w:pPr>
              <w:pStyle w:val="ad"/>
              <w:jc w:val="both"/>
              <w:rPr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Не ограничено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D3D" w:rsidRDefault="00C85D3D">
            <w:pPr>
              <w:pStyle w:val="ConsPlusNormal"/>
              <w:snapToGrid w:val="0"/>
              <w:jc w:val="both"/>
              <w:rPr>
                <w:rFonts w:ascii="Tinos" w:hAnsi="Tinos" w:cs="Times New Roman"/>
                <w:color w:val="000000"/>
                <w:sz w:val="24"/>
                <w:szCs w:val="24"/>
              </w:rPr>
            </w:pPr>
          </w:p>
        </w:tc>
      </w:tr>
    </w:tbl>
    <w:p w:rsidR="00C85D3D" w:rsidRDefault="00A65DE0">
      <w:pPr>
        <w:pStyle w:val="ConsPlusNormal"/>
        <w:ind w:left="-567" w:hanging="11"/>
        <w:jc w:val="both"/>
        <w:rPr>
          <w:sz w:val="24"/>
          <w:szCs w:val="24"/>
        </w:rPr>
      </w:pPr>
      <w:r>
        <w:rPr>
          <w:rFonts w:ascii="Tinos" w:hAnsi="Tinos" w:cs="Times New Roman"/>
          <w:color w:val="000000"/>
          <w:sz w:val="24"/>
          <w:szCs w:val="24"/>
        </w:rPr>
        <w:t>3.7. Новые функции, полномочия, обязанности и права органов государственной власти и органов местного самоуправления или сведения об их изменении, а также порядок их реализации;</w:t>
      </w:r>
    </w:p>
    <w:tbl>
      <w:tblPr>
        <w:tblW w:w="10104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4523"/>
        <w:gridCol w:w="1936"/>
        <w:gridCol w:w="3645"/>
      </w:tblGrid>
      <w:tr w:rsidR="00C85D3D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5D3D" w:rsidRDefault="00A65DE0">
            <w:pPr>
              <w:pStyle w:val="ConsPlusNormal"/>
              <w:rPr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 xml:space="preserve">3.7.1 Описание </w:t>
            </w: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новых или изменения существующих функций, полномочий, обязанностей и прав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5D3D" w:rsidRDefault="00A65DE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3.7.2 Порядок реализации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D3D" w:rsidRDefault="00A65DE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3.7.3 Оценка изменения трудозатрат и (или) потребностей в иных ресурсах</w:t>
            </w:r>
          </w:p>
        </w:tc>
      </w:tr>
      <w:tr w:rsidR="00C85D3D">
        <w:tc>
          <w:tcPr>
            <w:tcW w:w="10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D3D" w:rsidRDefault="00A65DE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 xml:space="preserve">Наименование органа: (Орган </w:t>
            </w:r>
            <w:r>
              <w:rPr>
                <w:rFonts w:ascii="Tinos" w:hAnsi="Tinos" w:cs="Times New Roman"/>
                <w:color w:val="000000"/>
                <w:sz w:val="24"/>
                <w:szCs w:val="24"/>
                <w:lang w:val="en-US"/>
              </w:rPr>
              <w:t>N)</w:t>
            </w:r>
          </w:p>
        </w:tc>
      </w:tr>
      <w:tr w:rsidR="00C85D3D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5D3D" w:rsidRDefault="00C85D3D">
            <w:pPr>
              <w:pStyle w:val="ConsPlusNormal"/>
              <w:snapToGrid w:val="0"/>
              <w:jc w:val="both"/>
              <w:rPr>
                <w:rFonts w:ascii="Tinos" w:hAnsi="Tinos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5D3D" w:rsidRDefault="00C85D3D">
            <w:pPr>
              <w:pStyle w:val="ConsPlusNormal"/>
              <w:snapToGrid w:val="0"/>
              <w:jc w:val="both"/>
              <w:rPr>
                <w:rFonts w:ascii="Tinos" w:hAnsi="Tinos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D3D" w:rsidRDefault="00C85D3D">
            <w:pPr>
              <w:pStyle w:val="ConsPlusNormal"/>
              <w:snapToGrid w:val="0"/>
              <w:jc w:val="both"/>
              <w:rPr>
                <w:rFonts w:ascii="Tinos" w:hAnsi="Tinos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C85D3D" w:rsidRDefault="00C85D3D">
      <w:pPr>
        <w:pStyle w:val="ConsPlusNormal"/>
        <w:ind w:left="-567" w:hanging="11"/>
        <w:jc w:val="both"/>
        <w:rPr>
          <w:rFonts w:cs="Times New Roman"/>
          <w:color w:val="000000"/>
          <w:sz w:val="24"/>
          <w:szCs w:val="24"/>
        </w:rPr>
      </w:pPr>
    </w:p>
    <w:p w:rsidR="00C85D3D" w:rsidRDefault="00A65DE0">
      <w:pPr>
        <w:pStyle w:val="ConsPlusNormal"/>
        <w:ind w:left="-567" w:hanging="11"/>
        <w:jc w:val="both"/>
        <w:rPr>
          <w:sz w:val="24"/>
          <w:szCs w:val="24"/>
        </w:rPr>
      </w:pPr>
      <w:r>
        <w:rPr>
          <w:rFonts w:ascii="Tinos" w:hAnsi="Tinos" w:cs="Times New Roman"/>
          <w:color w:val="000000"/>
          <w:sz w:val="24"/>
          <w:szCs w:val="24"/>
        </w:rPr>
        <w:t xml:space="preserve">3.8.  Оценка соответствующих расходов бюджета </w:t>
      </w:r>
      <w:proofErr w:type="spellStart"/>
      <w:r>
        <w:rPr>
          <w:rFonts w:ascii="Tinos" w:hAnsi="Tinos" w:cs="Times New Roman"/>
          <w:color w:val="000000"/>
          <w:sz w:val="24"/>
          <w:szCs w:val="24"/>
        </w:rPr>
        <w:t>Кирсановского</w:t>
      </w:r>
      <w:proofErr w:type="spellEnd"/>
      <w:r>
        <w:rPr>
          <w:rFonts w:ascii="Tinos" w:hAnsi="Tinos" w:cs="Times New Roman"/>
          <w:color w:val="000000"/>
          <w:sz w:val="24"/>
          <w:szCs w:val="24"/>
        </w:rPr>
        <w:t xml:space="preserve"> муниципального округа Тамбовской области (возможных поступлений в него);</w:t>
      </w:r>
    </w:p>
    <w:tbl>
      <w:tblPr>
        <w:tblW w:w="10161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3851"/>
        <w:gridCol w:w="2379"/>
        <w:gridCol w:w="2382"/>
        <w:gridCol w:w="1549"/>
      </w:tblGrid>
      <w:tr w:rsidR="00C85D3D"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5D3D" w:rsidRDefault="00A65DE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3.8.1 Наименование новой или изменяемой функции (полномочия, обязанности или права)</w:t>
            </w:r>
          </w:p>
          <w:p w:rsidR="00C85D3D" w:rsidRDefault="00A65DE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 xml:space="preserve">(указываются данные из раздела </w:t>
            </w: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lastRenderedPageBreak/>
              <w:t>3.7 сводного отчёта)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5D3D" w:rsidRDefault="00A65DE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lastRenderedPageBreak/>
              <w:t>3.8.2 Описание видов расходов (во</w:t>
            </w: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 xml:space="preserve">зможных поступлений) бюджета </w:t>
            </w:r>
            <w:proofErr w:type="spellStart"/>
            <w:r>
              <w:rPr>
                <w:rFonts w:ascii="Tinos" w:hAnsi="Tinos" w:cs="Times New Roman"/>
                <w:color w:val="000000"/>
                <w:sz w:val="24"/>
                <w:szCs w:val="24"/>
              </w:rPr>
              <w:lastRenderedPageBreak/>
              <w:t>Кирсановского</w:t>
            </w:r>
            <w:proofErr w:type="spellEnd"/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 xml:space="preserve"> муниципального округа Тамбовской области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5D3D" w:rsidRDefault="00A65DE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lastRenderedPageBreak/>
              <w:t>3.8.3 Количественная оценка расходов и возможных поступлений, руб.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D3D" w:rsidRDefault="00A65DE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3.8.4 Источники данных</w:t>
            </w:r>
          </w:p>
        </w:tc>
      </w:tr>
      <w:tr w:rsidR="00C85D3D">
        <w:tc>
          <w:tcPr>
            <w:tcW w:w="10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D3D" w:rsidRDefault="00A65DE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 xml:space="preserve">Наименование государственного органа: (от 1 до </w:t>
            </w:r>
            <w:r>
              <w:rPr>
                <w:rFonts w:ascii="Tinos" w:hAnsi="Tinos" w:cs="Times New Roman"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 xml:space="preserve">) (указываются данные из раздела </w:t>
            </w: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3.7 сводного отчёта)</w:t>
            </w:r>
          </w:p>
        </w:tc>
      </w:tr>
      <w:tr w:rsidR="00C85D3D"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5D3D" w:rsidRDefault="00A65D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  <w:lang w:val="en-US"/>
              </w:rPr>
              <w:t>N.1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5D3D" w:rsidRDefault="00A65D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 xml:space="preserve">Единовременные расходы (от 1 до </w:t>
            </w:r>
            <w:r>
              <w:rPr>
                <w:rFonts w:ascii="Tinos" w:hAnsi="Tinos" w:cs="Times New Roman"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) в ______г.: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5D3D" w:rsidRDefault="00C85D3D">
            <w:pPr>
              <w:pStyle w:val="ConsPlusNormal"/>
              <w:snapToGrid w:val="0"/>
              <w:jc w:val="both"/>
              <w:rPr>
                <w:rFonts w:ascii="Tinos" w:hAnsi="Tinos" w:cs="Times New Roman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D3D" w:rsidRDefault="00C85D3D">
            <w:pPr>
              <w:pStyle w:val="ConsPlusNormal"/>
              <w:snapToGrid w:val="0"/>
              <w:jc w:val="both"/>
              <w:rPr>
                <w:rFonts w:ascii="Tinos" w:hAnsi="Tinos" w:cs="Times New Roman"/>
                <w:color w:val="000000"/>
                <w:sz w:val="24"/>
                <w:szCs w:val="24"/>
              </w:rPr>
            </w:pPr>
          </w:p>
        </w:tc>
      </w:tr>
      <w:tr w:rsidR="00C85D3D"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5D3D" w:rsidRDefault="00C85D3D">
            <w:pPr>
              <w:pStyle w:val="ConsPlusNormal"/>
              <w:snapToGrid w:val="0"/>
              <w:jc w:val="both"/>
              <w:rPr>
                <w:rFonts w:ascii="Tinos" w:hAnsi="Tinos" w:cs="Times New Roman"/>
                <w:color w:val="000000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5D3D" w:rsidRDefault="00A65DE0">
            <w:pPr>
              <w:pStyle w:val="ConsPlusNormal"/>
              <w:rPr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 xml:space="preserve">Периодические расходы (от 1 до </w:t>
            </w:r>
            <w:r>
              <w:rPr>
                <w:rFonts w:ascii="Tinos" w:hAnsi="Tinos" w:cs="Times New Roman"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) за период __гг.: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5D3D" w:rsidRDefault="00C85D3D">
            <w:pPr>
              <w:pStyle w:val="ConsPlusNormal"/>
              <w:snapToGrid w:val="0"/>
              <w:jc w:val="both"/>
              <w:rPr>
                <w:rFonts w:ascii="Tinos" w:hAnsi="Tinos" w:cs="Times New Roman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D3D" w:rsidRDefault="00C85D3D">
            <w:pPr>
              <w:pStyle w:val="ConsPlusNormal"/>
              <w:snapToGrid w:val="0"/>
              <w:jc w:val="both"/>
              <w:rPr>
                <w:rFonts w:ascii="Tinos" w:hAnsi="Tinos" w:cs="Times New Roman"/>
                <w:color w:val="000000"/>
                <w:sz w:val="24"/>
                <w:szCs w:val="24"/>
              </w:rPr>
            </w:pPr>
          </w:p>
        </w:tc>
      </w:tr>
      <w:tr w:rsidR="00C85D3D"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5D3D" w:rsidRDefault="00C85D3D">
            <w:pPr>
              <w:pStyle w:val="ConsPlusNormal"/>
              <w:snapToGrid w:val="0"/>
              <w:jc w:val="both"/>
              <w:rPr>
                <w:rFonts w:ascii="Tinos" w:hAnsi="Tinos" w:cs="Times New Roman"/>
                <w:color w:val="000000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5D3D" w:rsidRDefault="00A65D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 xml:space="preserve">Возможные поступления (от 1 до </w:t>
            </w:r>
            <w:r>
              <w:rPr>
                <w:rFonts w:ascii="Tinos" w:hAnsi="Tinos" w:cs="Times New Roman"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) за период _________гг.: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5D3D" w:rsidRDefault="00C85D3D">
            <w:pPr>
              <w:pStyle w:val="ConsPlusNormal"/>
              <w:snapToGrid w:val="0"/>
              <w:jc w:val="both"/>
              <w:rPr>
                <w:rFonts w:ascii="Tinos" w:hAnsi="Tinos" w:cs="Times New Roman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D3D" w:rsidRDefault="00C85D3D">
            <w:pPr>
              <w:pStyle w:val="ConsPlusNormal"/>
              <w:snapToGrid w:val="0"/>
              <w:jc w:val="both"/>
              <w:rPr>
                <w:rFonts w:ascii="Tinos" w:hAnsi="Tinos" w:cs="Times New Roman"/>
                <w:color w:val="000000"/>
                <w:sz w:val="24"/>
                <w:szCs w:val="24"/>
              </w:rPr>
            </w:pPr>
          </w:p>
        </w:tc>
      </w:tr>
      <w:tr w:rsidR="00C85D3D"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5D3D" w:rsidRDefault="00A65D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Итого единовременные расходы: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5D3D" w:rsidRDefault="00C85D3D">
            <w:pPr>
              <w:pStyle w:val="ConsPlusNormal"/>
              <w:snapToGrid w:val="0"/>
              <w:jc w:val="both"/>
              <w:rPr>
                <w:rFonts w:ascii="Tinos" w:hAnsi="Tinos" w:cs="Times New Roman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D3D" w:rsidRDefault="00C85D3D">
            <w:pPr>
              <w:pStyle w:val="ConsPlusNormal"/>
              <w:snapToGrid w:val="0"/>
              <w:jc w:val="both"/>
              <w:rPr>
                <w:rFonts w:ascii="Tinos" w:hAnsi="Tinos" w:cs="Times New Roman"/>
                <w:color w:val="000000"/>
                <w:sz w:val="24"/>
                <w:szCs w:val="24"/>
              </w:rPr>
            </w:pPr>
          </w:p>
        </w:tc>
      </w:tr>
      <w:tr w:rsidR="00C85D3D"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5D3D" w:rsidRDefault="00A65D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Итого периодические расходы за</w:t>
            </w: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 xml:space="preserve"> год: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5D3D" w:rsidRDefault="00C85D3D">
            <w:pPr>
              <w:pStyle w:val="ConsPlusNormal"/>
              <w:snapToGrid w:val="0"/>
              <w:jc w:val="both"/>
              <w:rPr>
                <w:rFonts w:ascii="Tinos" w:hAnsi="Tinos" w:cs="Times New Roman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D3D" w:rsidRDefault="00C85D3D">
            <w:pPr>
              <w:pStyle w:val="ConsPlusNormal"/>
              <w:snapToGrid w:val="0"/>
              <w:jc w:val="both"/>
              <w:rPr>
                <w:rFonts w:ascii="Tinos" w:hAnsi="Tinos" w:cs="Times New Roman"/>
                <w:color w:val="000000"/>
                <w:sz w:val="24"/>
                <w:szCs w:val="24"/>
              </w:rPr>
            </w:pPr>
          </w:p>
        </w:tc>
      </w:tr>
      <w:tr w:rsidR="00C85D3D">
        <w:tc>
          <w:tcPr>
            <w:tcW w:w="6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5D3D" w:rsidRDefault="00A65DE0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Итого возможные поступления за год: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5D3D" w:rsidRDefault="00C85D3D">
            <w:pPr>
              <w:pStyle w:val="ConsPlusNormal"/>
              <w:snapToGrid w:val="0"/>
              <w:jc w:val="both"/>
              <w:rPr>
                <w:rFonts w:ascii="Tinos" w:hAnsi="Tinos" w:cs="Times New Roman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D3D" w:rsidRDefault="00C85D3D">
            <w:pPr>
              <w:pStyle w:val="ConsPlusNormal"/>
              <w:snapToGrid w:val="0"/>
              <w:jc w:val="both"/>
              <w:rPr>
                <w:rFonts w:ascii="Tinos" w:hAnsi="Tinos" w:cs="Times New Roman"/>
                <w:color w:val="000000"/>
                <w:sz w:val="24"/>
                <w:szCs w:val="24"/>
              </w:rPr>
            </w:pPr>
          </w:p>
        </w:tc>
      </w:tr>
    </w:tbl>
    <w:p w:rsidR="00C85D3D" w:rsidRDefault="00A65DE0">
      <w:pPr>
        <w:pStyle w:val="ConsPlusNormal"/>
        <w:ind w:left="-567" w:hanging="11"/>
        <w:jc w:val="both"/>
        <w:rPr>
          <w:sz w:val="24"/>
          <w:szCs w:val="24"/>
        </w:rPr>
      </w:pPr>
      <w:r>
        <w:rPr>
          <w:rFonts w:ascii="Tinos" w:hAnsi="Tinos" w:cs="Times New Roman"/>
          <w:color w:val="000000"/>
          <w:sz w:val="24"/>
          <w:szCs w:val="24"/>
        </w:rPr>
        <w:t xml:space="preserve">При наличии приводятся иные сведения о расходах (возможных поступлениях) бюджета </w:t>
      </w:r>
      <w:proofErr w:type="spellStart"/>
      <w:r>
        <w:rPr>
          <w:rFonts w:ascii="Tinos" w:hAnsi="Tinos" w:cs="Times New Roman"/>
          <w:color w:val="000000"/>
          <w:sz w:val="24"/>
          <w:szCs w:val="24"/>
        </w:rPr>
        <w:t>Кирсановского</w:t>
      </w:r>
      <w:proofErr w:type="spellEnd"/>
      <w:r>
        <w:rPr>
          <w:rFonts w:ascii="Tinos" w:hAnsi="Tinos" w:cs="Times New Roman"/>
          <w:color w:val="000000"/>
          <w:sz w:val="24"/>
          <w:szCs w:val="24"/>
        </w:rPr>
        <w:t xml:space="preserve"> муниципального округа Тамбовской области.</w:t>
      </w:r>
    </w:p>
    <w:p w:rsidR="00C85D3D" w:rsidRDefault="00A65DE0">
      <w:pPr>
        <w:pStyle w:val="ConsPlusNormal"/>
        <w:ind w:left="-567" w:hanging="11"/>
        <w:jc w:val="both"/>
        <w:rPr>
          <w:sz w:val="24"/>
          <w:szCs w:val="24"/>
        </w:rPr>
      </w:pPr>
      <w:r>
        <w:rPr>
          <w:rFonts w:ascii="Tinos" w:hAnsi="Tinos" w:cs="Times New Roman"/>
          <w:color w:val="000000"/>
          <w:sz w:val="24"/>
          <w:szCs w:val="24"/>
        </w:rPr>
        <w:t xml:space="preserve">3.9.  Новые, изменяющие или отменяющие ранее предусмотренные </w:t>
      </w:r>
      <w:proofErr w:type="gramStart"/>
      <w:r>
        <w:rPr>
          <w:rFonts w:ascii="Tinos" w:hAnsi="Tinos" w:cs="Times New Roman"/>
          <w:color w:val="000000"/>
          <w:sz w:val="24"/>
          <w:szCs w:val="24"/>
        </w:rPr>
        <w:t>муниципальным  актом</w:t>
      </w:r>
      <w:proofErr w:type="gramEnd"/>
      <w:r>
        <w:rPr>
          <w:rFonts w:ascii="Tinos" w:hAnsi="Tinos" w:cs="Times New Roman"/>
          <w:color w:val="000000"/>
          <w:sz w:val="24"/>
          <w:szCs w:val="24"/>
        </w:rPr>
        <w:t xml:space="preserve"> обязательные требования, устанавливающие новые, или изменяющие или отменяющие ранее предусмотренные муниципальным актом</w:t>
      </w:r>
    </w:p>
    <w:p w:rsidR="00C85D3D" w:rsidRDefault="00A65DE0">
      <w:pPr>
        <w:pStyle w:val="ConsPlusNormal"/>
        <w:ind w:left="-567" w:hanging="11"/>
        <w:jc w:val="both"/>
        <w:rPr>
          <w:sz w:val="24"/>
          <w:szCs w:val="24"/>
        </w:rPr>
      </w:pPr>
      <w:r>
        <w:rPr>
          <w:rFonts w:ascii="Tinos" w:hAnsi="Tinos" w:cs="Times New Roman"/>
          <w:color w:val="000000"/>
          <w:sz w:val="24"/>
          <w:szCs w:val="24"/>
        </w:rPr>
        <w:t>обязанности и запреты для субъектов предпринимательской и инвестиционной деятельности, а также устанавливающие, изм</w:t>
      </w:r>
      <w:r>
        <w:rPr>
          <w:rFonts w:ascii="Tinos" w:hAnsi="Tinos" w:cs="Times New Roman"/>
          <w:color w:val="000000"/>
          <w:sz w:val="24"/>
          <w:szCs w:val="24"/>
        </w:rPr>
        <w:t>еняющие или отменяющие ответственность за нарушение муниципальных актов, затрагивающих вопросы осуществления предпринимательской и иной экономической деятельности: нет</w:t>
      </w:r>
    </w:p>
    <w:tbl>
      <w:tblPr>
        <w:tblW w:w="10161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1590"/>
        <w:gridCol w:w="6000"/>
        <w:gridCol w:w="2571"/>
      </w:tblGrid>
      <w:tr w:rsidR="00C85D3D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5D3D" w:rsidRDefault="00A65DE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3.9.1 Группа участников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5D3D" w:rsidRDefault="00A65DE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3.9.2 Описание новых положений, вводящих избыточные обязанности,</w:t>
            </w: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 xml:space="preserve"> запреты и ограничения для субъектов  предпринимательской и иной экономической деятельности или способствующих их введению, а так же положений, способствующих возникновению необоснованных расходов  субъектов  предпринимательской и иной экономической деятел</w:t>
            </w: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 xml:space="preserve">ьности и бюджета </w:t>
            </w:r>
            <w:proofErr w:type="spellStart"/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Кирсановского</w:t>
            </w:r>
            <w:proofErr w:type="spellEnd"/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 xml:space="preserve"> муниципального округа Тамбовской области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D3D" w:rsidRDefault="00A65DE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3.9.3 Порядок организаций исполнения обязательных требований, ответственности за нарушение муниципального акта</w:t>
            </w:r>
          </w:p>
        </w:tc>
      </w:tr>
      <w:tr w:rsidR="00C85D3D"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5D3D" w:rsidRDefault="00A65DE0">
            <w:pPr>
              <w:pStyle w:val="ConsPlusNormal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nos" w:hAnsi="Tinos" w:cs="Times New Roman"/>
                <w:color w:val="000000"/>
                <w:sz w:val="24"/>
                <w:szCs w:val="24"/>
                <w:lang w:val="en-US"/>
              </w:rPr>
              <w:t>Цель</w:t>
            </w:r>
            <w:proofErr w:type="spellEnd"/>
            <w:r>
              <w:rPr>
                <w:rFonts w:ascii="Tinos" w:hAnsi="Tinos" w:cs="Times New Roman"/>
                <w:color w:val="000000"/>
                <w:sz w:val="24"/>
                <w:szCs w:val="24"/>
                <w:lang w:val="en-US"/>
              </w:rPr>
              <w:t xml:space="preserve"> №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5D3D" w:rsidRDefault="00C85D3D">
            <w:pPr>
              <w:pStyle w:val="ConsPlusNormal"/>
              <w:snapToGrid w:val="0"/>
              <w:jc w:val="both"/>
              <w:rPr>
                <w:rFonts w:ascii="Tinos" w:hAnsi="Tinos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D3D" w:rsidRDefault="00C85D3D">
            <w:pPr>
              <w:pStyle w:val="ConsPlusNormal"/>
              <w:snapToGrid w:val="0"/>
              <w:jc w:val="both"/>
              <w:rPr>
                <w:rFonts w:ascii="Tinos" w:hAnsi="Tinos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C85D3D"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5D3D" w:rsidRDefault="00C85D3D">
            <w:pPr>
              <w:pStyle w:val="ConsPlusNormal"/>
              <w:snapToGrid w:val="0"/>
              <w:jc w:val="both"/>
              <w:rPr>
                <w:rFonts w:ascii="Tinos" w:hAnsi="Tinos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5D3D" w:rsidRDefault="00C85D3D">
            <w:pPr>
              <w:pStyle w:val="ConsPlusNormal"/>
              <w:snapToGrid w:val="0"/>
              <w:jc w:val="both"/>
              <w:rPr>
                <w:rFonts w:ascii="Tinos" w:hAnsi="Tinos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D3D" w:rsidRDefault="00C85D3D">
            <w:pPr>
              <w:pStyle w:val="ConsPlusNormal"/>
              <w:snapToGrid w:val="0"/>
              <w:jc w:val="both"/>
              <w:rPr>
                <w:rFonts w:ascii="Tinos" w:hAnsi="Tinos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C85D3D" w:rsidRDefault="00C85D3D">
      <w:pPr>
        <w:ind w:left="-567" w:hanging="11"/>
        <w:jc w:val="right"/>
        <w:rPr>
          <w:color w:val="000000"/>
        </w:rPr>
      </w:pPr>
    </w:p>
    <w:p w:rsidR="00C85D3D" w:rsidRDefault="00A65DE0">
      <w:pPr>
        <w:pStyle w:val="ConsPlusNormal"/>
        <w:ind w:left="-567" w:hanging="11"/>
        <w:jc w:val="both"/>
        <w:rPr>
          <w:sz w:val="24"/>
          <w:szCs w:val="24"/>
        </w:rPr>
      </w:pPr>
      <w:r>
        <w:rPr>
          <w:rFonts w:ascii="Tinos" w:hAnsi="Tinos" w:cs="Times New Roman"/>
          <w:color w:val="000000"/>
          <w:sz w:val="24"/>
          <w:szCs w:val="24"/>
        </w:rPr>
        <w:t xml:space="preserve">3.10.  Оценка расходов и доходов субъектов предпринимательской и иной экономической деятельности, связанных с необходимостью соблюдения обязательных </w:t>
      </w:r>
      <w:proofErr w:type="gramStart"/>
      <w:r>
        <w:rPr>
          <w:rFonts w:ascii="Tinos" w:hAnsi="Tinos" w:cs="Times New Roman"/>
          <w:color w:val="000000"/>
          <w:sz w:val="24"/>
          <w:szCs w:val="24"/>
        </w:rPr>
        <w:t>требований  либо</w:t>
      </w:r>
      <w:proofErr w:type="gramEnd"/>
      <w:r>
        <w:rPr>
          <w:rFonts w:ascii="Tinos" w:hAnsi="Tinos" w:cs="Times New Roman"/>
          <w:color w:val="000000"/>
          <w:sz w:val="24"/>
          <w:szCs w:val="24"/>
        </w:rPr>
        <w:t xml:space="preserve"> изменением содержания обязательных требований, а также связанных с изменением или отменной</w:t>
      </w:r>
      <w:r>
        <w:rPr>
          <w:rFonts w:ascii="Tinos" w:hAnsi="Tinos" w:cs="Times New Roman"/>
          <w:color w:val="000000"/>
          <w:sz w:val="24"/>
          <w:szCs w:val="24"/>
        </w:rPr>
        <w:t xml:space="preserve"> ответственности: </w:t>
      </w:r>
    </w:p>
    <w:tbl>
      <w:tblPr>
        <w:tblW w:w="10161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2716"/>
        <w:gridCol w:w="4366"/>
        <w:gridCol w:w="1589"/>
        <w:gridCol w:w="1490"/>
      </w:tblGrid>
      <w:tr w:rsidR="00C85D3D"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5D3D" w:rsidRDefault="00A65DE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3.10.1 Группа участников (указываются данные из подпункта 3.6 сводного отчёта)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5D3D" w:rsidRDefault="00A65DE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3.10.2 Описание новых, изменяющих или отменяющих обязательные требования, обязанностей и запретов, ответственность за нарушение муниципального акта  (указываю</w:t>
            </w: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тся данные из подпункта 3.9 сводного отчёта)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5D3D" w:rsidRDefault="00A65DE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3.10.3 Описание и оценка видов расходов и доходов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D3D" w:rsidRDefault="00A65DE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>3.10.4 Источники данных</w:t>
            </w:r>
          </w:p>
        </w:tc>
      </w:tr>
      <w:tr w:rsidR="00C85D3D">
        <w:tc>
          <w:tcPr>
            <w:tcW w:w="2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5D3D" w:rsidRDefault="00A65DE0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nos" w:hAnsi="Tinos" w:cs="Times New Roman"/>
                <w:color w:val="000000"/>
                <w:sz w:val="24"/>
                <w:szCs w:val="24"/>
              </w:rPr>
              <w:t xml:space="preserve">Группа участников отношений </w:t>
            </w:r>
            <w:r>
              <w:rPr>
                <w:rFonts w:ascii="Tinos" w:hAnsi="Tinos" w:cs="Times New Roman"/>
                <w:color w:val="00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5D3D" w:rsidRDefault="00C85D3D">
            <w:pPr>
              <w:pStyle w:val="ConsPlusNormal"/>
              <w:snapToGrid w:val="0"/>
              <w:jc w:val="both"/>
              <w:rPr>
                <w:rFonts w:ascii="Tinos" w:hAnsi="Tinos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5D3D" w:rsidRDefault="00C85D3D">
            <w:pPr>
              <w:pStyle w:val="ConsPlusNormal"/>
              <w:snapToGrid w:val="0"/>
              <w:jc w:val="center"/>
              <w:rPr>
                <w:rFonts w:ascii="Tinos" w:hAnsi="Tinos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D3D" w:rsidRDefault="00C85D3D">
            <w:pPr>
              <w:pStyle w:val="ConsPlusNormal"/>
              <w:snapToGrid w:val="0"/>
              <w:jc w:val="center"/>
              <w:rPr>
                <w:rFonts w:ascii="Tinos" w:hAnsi="Tinos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C85D3D">
        <w:tc>
          <w:tcPr>
            <w:tcW w:w="2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5D3D" w:rsidRDefault="00C85D3D">
            <w:pPr>
              <w:pStyle w:val="ConsPlusNormal"/>
              <w:snapToGrid w:val="0"/>
              <w:jc w:val="center"/>
              <w:rPr>
                <w:rFonts w:ascii="Tinos" w:hAnsi="Tinos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85D3D" w:rsidRDefault="00C85D3D">
            <w:pPr>
              <w:pStyle w:val="ConsPlusNormal"/>
              <w:snapToGrid w:val="0"/>
              <w:jc w:val="both"/>
              <w:rPr>
                <w:rFonts w:ascii="Tinos" w:hAnsi="Tinos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85D3D" w:rsidRDefault="00C85D3D">
            <w:pPr>
              <w:pStyle w:val="ConsPlusNormal"/>
              <w:snapToGrid w:val="0"/>
              <w:jc w:val="center"/>
              <w:rPr>
                <w:rFonts w:ascii="Tinos" w:hAnsi="Tinos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D3D" w:rsidRDefault="00C85D3D">
            <w:pPr>
              <w:pStyle w:val="ConsPlusNormal"/>
              <w:snapToGrid w:val="0"/>
              <w:jc w:val="center"/>
              <w:rPr>
                <w:rFonts w:ascii="Tinos" w:hAnsi="Tinos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C85D3D" w:rsidRDefault="00A65DE0">
      <w:pPr>
        <w:pStyle w:val="ConsPlusNormal"/>
        <w:ind w:left="-578"/>
        <w:jc w:val="both"/>
        <w:rPr>
          <w:sz w:val="24"/>
          <w:szCs w:val="24"/>
        </w:rPr>
      </w:pPr>
      <w:r>
        <w:rPr>
          <w:rFonts w:ascii="Tinos" w:hAnsi="Tinos" w:cs="Times New Roman"/>
          <w:color w:val="000000"/>
          <w:sz w:val="24"/>
          <w:szCs w:val="24"/>
        </w:rPr>
        <w:t xml:space="preserve">3.11. Риски решения проблемы предложенным способом регулирования и риски негативных последствий, </w:t>
      </w:r>
      <w:r>
        <w:rPr>
          <w:rFonts w:ascii="Tinos" w:hAnsi="Tinos" w:cs="Times New Roman"/>
          <w:color w:val="000000"/>
          <w:sz w:val="24"/>
          <w:szCs w:val="24"/>
        </w:rPr>
        <w:t>в том числе возможные риски ограничения конкуренции: риски отсутствуют;</w:t>
      </w:r>
    </w:p>
    <w:p w:rsidR="00C85D3D" w:rsidRDefault="00A65DE0">
      <w:pPr>
        <w:pStyle w:val="ConsPlusNormal"/>
        <w:ind w:left="-567" w:right="-2" w:hanging="11"/>
        <w:jc w:val="both"/>
        <w:rPr>
          <w:sz w:val="24"/>
          <w:szCs w:val="24"/>
        </w:rPr>
      </w:pPr>
      <w:r>
        <w:rPr>
          <w:rFonts w:ascii="Tinos" w:hAnsi="Tinos" w:cs="Times New Roman"/>
          <w:color w:val="000000"/>
          <w:sz w:val="24"/>
          <w:szCs w:val="24"/>
        </w:rPr>
        <w:t>3.12. Предполагаемая дата вступления в силу проекта муниципального акта, необходимость установления переходных положений (переходного периода);</w:t>
      </w:r>
    </w:p>
    <w:p w:rsidR="00C85D3D" w:rsidRDefault="00A65DE0">
      <w:pPr>
        <w:pStyle w:val="ConsPlusNormal"/>
        <w:ind w:left="-567" w:right="-2" w:hanging="11"/>
        <w:jc w:val="both"/>
        <w:rPr>
          <w:sz w:val="24"/>
          <w:szCs w:val="24"/>
        </w:rPr>
      </w:pPr>
      <w:bookmarkStart w:id="5" w:name="Par1491"/>
      <w:bookmarkEnd w:id="5"/>
      <w:r>
        <w:rPr>
          <w:rFonts w:ascii="Tinos" w:hAnsi="Tinos" w:cs="Times New Roman"/>
          <w:color w:val="000000"/>
          <w:sz w:val="24"/>
          <w:szCs w:val="24"/>
        </w:rPr>
        <w:t xml:space="preserve">3.13. Иные сведения, которые, по мнению </w:t>
      </w:r>
      <w:r>
        <w:rPr>
          <w:rFonts w:ascii="Tinos" w:hAnsi="Tinos" w:cs="Times New Roman"/>
          <w:color w:val="000000"/>
          <w:sz w:val="24"/>
          <w:szCs w:val="24"/>
        </w:rPr>
        <w:t>разработчика проекта муниципального акта, позволяют оценить обоснованность предлагаемого регулирования.</w:t>
      </w:r>
    </w:p>
    <w:p w:rsidR="00C85D3D" w:rsidRDefault="00A65DE0">
      <w:pPr>
        <w:pStyle w:val="ConsPlusNonformat"/>
        <w:jc w:val="both"/>
        <w:rPr>
          <w:sz w:val="24"/>
          <w:szCs w:val="24"/>
        </w:rPr>
      </w:pPr>
      <w:r>
        <w:rPr>
          <w:rFonts w:ascii="Tinos" w:hAnsi="Tinos" w:cs="Times New Roman"/>
          <w:color w:val="000000"/>
          <w:sz w:val="24"/>
          <w:szCs w:val="24"/>
        </w:rPr>
        <w:t>Указание (при наличии) на приложения.</w:t>
      </w:r>
    </w:p>
    <w:p w:rsidR="00C85D3D" w:rsidRDefault="00C85D3D">
      <w:pPr>
        <w:pStyle w:val="ConsPlusNonformat"/>
        <w:jc w:val="both"/>
        <w:rPr>
          <w:rFonts w:ascii="Tinos" w:hAnsi="Tinos" w:cs="Times New Roman"/>
          <w:color w:val="000000"/>
          <w:sz w:val="24"/>
          <w:szCs w:val="24"/>
        </w:rPr>
      </w:pPr>
    </w:p>
    <w:p w:rsidR="00C85D3D" w:rsidRDefault="00A65DE0">
      <w:pPr>
        <w:suppressAutoHyphens w:val="0"/>
      </w:pPr>
      <w:r>
        <w:rPr>
          <w:rFonts w:ascii="Tinos" w:hAnsi="Tinos"/>
          <w:color w:val="000000"/>
          <w:lang w:eastAsia="ru-RU"/>
        </w:rPr>
        <w:t>Начальник отдела экономики,</w:t>
      </w:r>
    </w:p>
    <w:p w:rsidR="00C85D3D" w:rsidRDefault="00A65DE0">
      <w:pPr>
        <w:suppressAutoHyphens w:val="0"/>
      </w:pPr>
      <w:r>
        <w:rPr>
          <w:rFonts w:ascii="Tinos" w:hAnsi="Tinos"/>
          <w:color w:val="000000"/>
          <w:lang w:eastAsia="ru-RU"/>
        </w:rPr>
        <w:t xml:space="preserve">предпринимательства и </w:t>
      </w:r>
    </w:p>
    <w:p w:rsidR="00C85D3D" w:rsidRDefault="00A65DE0">
      <w:pPr>
        <w:suppressAutoHyphens w:val="0"/>
      </w:pPr>
      <w:r>
        <w:rPr>
          <w:rFonts w:ascii="Tinos" w:hAnsi="Tinos"/>
          <w:color w:val="000000"/>
          <w:lang w:eastAsia="ru-RU"/>
        </w:rPr>
        <w:t>потребительского рынка</w:t>
      </w:r>
    </w:p>
    <w:p w:rsidR="00C85D3D" w:rsidRDefault="00A65DE0">
      <w:r>
        <w:rPr>
          <w:rFonts w:ascii="Tinos" w:hAnsi="Tinos"/>
          <w:color w:val="000000"/>
          <w:lang w:eastAsia="ru-RU"/>
        </w:rPr>
        <w:t xml:space="preserve">администрации муниципального округа    </w:t>
      </w:r>
      <w:r>
        <w:rPr>
          <w:rFonts w:ascii="Tinos" w:hAnsi="Tinos"/>
          <w:color w:val="000000"/>
          <w:lang w:eastAsia="ru-RU"/>
        </w:rPr>
        <w:t xml:space="preserve">                                                 Е. Ю. </w:t>
      </w:r>
      <w:proofErr w:type="spellStart"/>
      <w:r>
        <w:rPr>
          <w:rFonts w:ascii="Tinos" w:hAnsi="Tinos"/>
          <w:color w:val="000000"/>
          <w:lang w:eastAsia="ru-RU"/>
        </w:rPr>
        <w:t>Чекранова</w:t>
      </w:r>
      <w:proofErr w:type="spellEnd"/>
      <w:r>
        <w:rPr>
          <w:rFonts w:ascii="Tinos" w:hAnsi="Tinos"/>
          <w:color w:val="000000"/>
        </w:rPr>
        <w:t xml:space="preserve">                  </w:t>
      </w:r>
    </w:p>
    <w:p w:rsidR="00C85D3D" w:rsidRDefault="00C85D3D">
      <w:pPr>
        <w:rPr>
          <w:rFonts w:ascii="Tinos" w:hAnsi="Tinos"/>
          <w:color w:val="000000"/>
        </w:rPr>
      </w:pPr>
    </w:p>
    <w:p w:rsidR="00C85D3D" w:rsidRDefault="00C85D3D">
      <w:pPr>
        <w:rPr>
          <w:rFonts w:ascii="Tinos" w:hAnsi="Tinos"/>
          <w:color w:val="000000"/>
        </w:rPr>
      </w:pPr>
    </w:p>
    <w:p w:rsidR="00C85D3D" w:rsidRDefault="00C85D3D">
      <w:pPr>
        <w:rPr>
          <w:rFonts w:ascii="Tinos" w:hAnsi="Tinos"/>
          <w:color w:val="000000"/>
        </w:rPr>
      </w:pPr>
    </w:p>
    <w:p w:rsidR="00C85D3D" w:rsidRDefault="00C85D3D">
      <w:pPr>
        <w:rPr>
          <w:rFonts w:ascii="Tinos" w:hAnsi="Tinos"/>
          <w:color w:val="000000"/>
        </w:rPr>
      </w:pPr>
    </w:p>
    <w:p w:rsidR="00C85D3D" w:rsidRDefault="00C85D3D">
      <w:pPr>
        <w:rPr>
          <w:rFonts w:ascii="Tinos" w:hAnsi="Tinos"/>
          <w:color w:val="000000"/>
        </w:rPr>
      </w:pPr>
    </w:p>
    <w:p w:rsidR="00C85D3D" w:rsidRDefault="00C85D3D">
      <w:pPr>
        <w:rPr>
          <w:rFonts w:ascii="Tinos" w:hAnsi="Tinos"/>
          <w:color w:val="000000"/>
        </w:rPr>
      </w:pPr>
    </w:p>
    <w:p w:rsidR="00C85D3D" w:rsidRDefault="00C85D3D">
      <w:pPr>
        <w:rPr>
          <w:rFonts w:ascii="Tinos" w:hAnsi="Tinos"/>
          <w:color w:val="000000"/>
        </w:rPr>
      </w:pPr>
    </w:p>
    <w:p w:rsidR="00C85D3D" w:rsidRDefault="00C85D3D">
      <w:pPr>
        <w:rPr>
          <w:rFonts w:ascii="Tinos" w:hAnsi="Tinos"/>
          <w:color w:val="000000"/>
        </w:rPr>
      </w:pPr>
    </w:p>
    <w:p w:rsidR="00C85D3D" w:rsidRDefault="00C85D3D">
      <w:pPr>
        <w:rPr>
          <w:rFonts w:ascii="Tinos" w:hAnsi="Tinos"/>
          <w:color w:val="000000"/>
        </w:rPr>
      </w:pPr>
    </w:p>
    <w:p w:rsidR="00C85D3D" w:rsidRDefault="00C85D3D">
      <w:pPr>
        <w:rPr>
          <w:rFonts w:ascii="Tinos" w:hAnsi="Tinos"/>
          <w:color w:val="000000"/>
        </w:rPr>
      </w:pPr>
    </w:p>
    <w:p w:rsidR="00C85D3D" w:rsidRDefault="00C85D3D">
      <w:pPr>
        <w:rPr>
          <w:rFonts w:ascii="Tinos" w:hAnsi="Tinos"/>
          <w:color w:val="000000"/>
        </w:rPr>
      </w:pPr>
    </w:p>
    <w:p w:rsidR="00C85D3D" w:rsidRDefault="00C85D3D">
      <w:pPr>
        <w:rPr>
          <w:rFonts w:ascii="Tinos" w:hAnsi="Tinos"/>
          <w:color w:val="000000"/>
        </w:rPr>
      </w:pPr>
    </w:p>
    <w:p w:rsidR="00C85D3D" w:rsidRDefault="00A65DE0">
      <w:pPr>
        <w:pStyle w:val="ConsPlusNormal"/>
        <w:ind w:firstLine="539"/>
      </w:pPr>
      <w:proofErr w:type="gramStart"/>
      <w:r>
        <w:rPr>
          <w:rFonts w:ascii="Tinos" w:hAnsi="Tinos" w:cs="Times New Roman"/>
          <w:color w:val="000000"/>
          <w:sz w:val="24"/>
          <w:szCs w:val="24"/>
          <w:vertAlign w:val="superscript"/>
        </w:rPr>
        <w:t xml:space="preserve">1  </w:t>
      </w:r>
      <w:r>
        <w:rPr>
          <w:rFonts w:ascii="Tinos" w:hAnsi="Tinos" w:cs="Times New Roman"/>
          <w:color w:val="000000"/>
          <w:sz w:val="24"/>
          <w:szCs w:val="24"/>
        </w:rPr>
        <w:t>Все</w:t>
      </w:r>
      <w:proofErr w:type="gramEnd"/>
      <w:r>
        <w:rPr>
          <w:rFonts w:ascii="Tinos" w:hAnsi="Tinos" w:cs="Times New Roman"/>
          <w:color w:val="000000"/>
          <w:sz w:val="24"/>
          <w:szCs w:val="24"/>
        </w:rPr>
        <w:t xml:space="preserve"> разделы обязательны для заполнения проектов муниципальных актов с высокой степенью регулирующего воздействия</w:t>
      </w:r>
    </w:p>
    <w:p w:rsidR="00C85D3D" w:rsidRDefault="00A65DE0">
      <w:pPr>
        <w:pStyle w:val="ConsPlusNormal"/>
        <w:ind w:right="-2" w:firstLine="709"/>
      </w:pPr>
      <w:r>
        <w:rPr>
          <w:rFonts w:ascii="Tinos" w:hAnsi="Tinos" w:cs="Times New Roman"/>
          <w:bCs/>
          <w:color w:val="000000"/>
          <w:sz w:val="24"/>
          <w:szCs w:val="24"/>
        </w:rPr>
        <w:t xml:space="preserve">В сводном отчёте для проектов муниципальных актов со средней степенью регулирующего воздействия необходимо указывать сведения, предусмотренные </w:t>
      </w:r>
      <w:hyperlink w:anchor="Par134">
        <w:r>
          <w:rPr>
            <w:rStyle w:val="a3"/>
            <w:rFonts w:ascii="Tinos" w:hAnsi="Tinos" w:cs="Times New Roman"/>
            <w:bCs/>
            <w:color w:val="000000"/>
            <w:sz w:val="24"/>
            <w:szCs w:val="24"/>
            <w:u w:val="none"/>
          </w:rPr>
          <w:t>пунктами 1-2, подпунктами 3.1</w:t>
        </w:r>
      </w:hyperlink>
      <w:r>
        <w:rPr>
          <w:rFonts w:ascii="Tinos" w:hAnsi="Tinos" w:cs="Times New Roman"/>
          <w:bCs/>
          <w:color w:val="000000"/>
          <w:sz w:val="24"/>
          <w:szCs w:val="24"/>
        </w:rPr>
        <w:t xml:space="preserve"> — </w:t>
      </w:r>
      <w:hyperlink w:anchor="Par144">
        <w:r>
          <w:rPr>
            <w:rStyle w:val="a3"/>
            <w:rFonts w:ascii="Tinos" w:hAnsi="Tinos" w:cs="Times New Roman"/>
            <w:bCs/>
            <w:color w:val="000000"/>
            <w:sz w:val="24"/>
            <w:szCs w:val="24"/>
            <w:u w:val="none"/>
          </w:rPr>
          <w:t>3.</w:t>
        </w:r>
      </w:hyperlink>
      <w:r>
        <w:rPr>
          <w:rStyle w:val="a3"/>
          <w:rFonts w:ascii="Tinos" w:hAnsi="Tinos" w:cs="Times New Roman"/>
          <w:bCs/>
          <w:color w:val="000000"/>
          <w:sz w:val="24"/>
          <w:szCs w:val="24"/>
          <w:u w:val="none"/>
        </w:rPr>
        <w:t>6, 3.9-3.13 пункта 3</w:t>
      </w:r>
      <w:r>
        <w:rPr>
          <w:rFonts w:ascii="Tinos" w:hAnsi="Tinos" w:cs="Times New Roman"/>
          <w:bCs/>
          <w:color w:val="000000"/>
          <w:sz w:val="24"/>
          <w:szCs w:val="24"/>
        </w:rPr>
        <w:t>.</w:t>
      </w:r>
    </w:p>
    <w:p w:rsidR="00C85D3D" w:rsidRDefault="00A65DE0">
      <w:pPr>
        <w:pStyle w:val="ConsPlusNonformat"/>
      </w:pPr>
      <w:r>
        <w:rPr>
          <w:rFonts w:ascii="Tinos" w:hAnsi="Tinos" w:cs="Times New Roman"/>
          <w:color w:val="000000"/>
          <w:sz w:val="24"/>
          <w:szCs w:val="24"/>
        </w:rPr>
        <w:t xml:space="preserve">В сводном отчёте для проектов муниципальных актов  с низкой степенью регулирующего воздействия необходимо указывать сведения, предусмотренные </w:t>
      </w:r>
      <w:hyperlink w:anchor="Par134">
        <w:r>
          <w:rPr>
            <w:rStyle w:val="a3"/>
            <w:rFonts w:ascii="Tinos" w:hAnsi="Tinos" w:cs="Times New Roman"/>
            <w:color w:val="000000"/>
            <w:sz w:val="24"/>
            <w:szCs w:val="24"/>
            <w:u w:val="none"/>
          </w:rPr>
          <w:t>пунктами 1-2, подпунктами  3.1</w:t>
        </w:r>
      </w:hyperlink>
      <w:r>
        <w:rPr>
          <w:rFonts w:ascii="Tinos" w:hAnsi="Tinos" w:cs="Times New Roman"/>
          <w:color w:val="000000"/>
          <w:sz w:val="24"/>
          <w:szCs w:val="24"/>
        </w:rPr>
        <w:t xml:space="preserve">, </w:t>
      </w:r>
      <w:hyperlink w:anchor="Par135">
        <w:r>
          <w:rPr>
            <w:rStyle w:val="a3"/>
            <w:rFonts w:ascii="Tinos" w:hAnsi="Tinos" w:cs="Times New Roman"/>
            <w:color w:val="000000"/>
            <w:sz w:val="24"/>
            <w:szCs w:val="24"/>
            <w:u w:val="none"/>
          </w:rPr>
          <w:t>3.2</w:t>
        </w:r>
      </w:hyperlink>
      <w:r>
        <w:rPr>
          <w:rFonts w:ascii="Tinos" w:hAnsi="Tinos" w:cs="Times New Roman"/>
          <w:color w:val="000000"/>
          <w:sz w:val="24"/>
          <w:szCs w:val="24"/>
        </w:rPr>
        <w:t xml:space="preserve">, </w:t>
      </w:r>
      <w:hyperlink w:anchor="Par137">
        <w:r>
          <w:rPr>
            <w:rStyle w:val="a3"/>
            <w:rFonts w:ascii="Tinos" w:hAnsi="Tinos" w:cs="Times New Roman"/>
            <w:color w:val="000000"/>
            <w:sz w:val="24"/>
            <w:szCs w:val="24"/>
            <w:u w:val="none"/>
          </w:rPr>
          <w:t>3.4</w:t>
        </w:r>
      </w:hyperlink>
      <w:r>
        <w:rPr>
          <w:rFonts w:ascii="Tinos" w:hAnsi="Tinos" w:cs="Times New Roman"/>
          <w:color w:val="000000"/>
          <w:sz w:val="24"/>
          <w:szCs w:val="24"/>
        </w:rPr>
        <w:t xml:space="preserve"> - </w:t>
      </w:r>
      <w:hyperlink w:anchor="Par139">
        <w:r>
          <w:rPr>
            <w:rStyle w:val="a3"/>
            <w:rFonts w:ascii="Tinos" w:hAnsi="Tinos" w:cs="Times New Roman"/>
            <w:color w:val="000000"/>
            <w:sz w:val="24"/>
            <w:szCs w:val="24"/>
            <w:u w:val="none"/>
          </w:rPr>
          <w:t>3.6</w:t>
        </w:r>
      </w:hyperlink>
      <w:r>
        <w:rPr>
          <w:rFonts w:ascii="Tinos" w:hAnsi="Tinos" w:cs="Times New Roman"/>
          <w:color w:val="000000"/>
          <w:sz w:val="24"/>
          <w:szCs w:val="24"/>
        </w:rPr>
        <w:t xml:space="preserve">, </w:t>
      </w:r>
      <w:hyperlink w:anchor="Par144">
        <w:r>
          <w:rPr>
            <w:rStyle w:val="a3"/>
            <w:rFonts w:ascii="Tinos" w:hAnsi="Tinos" w:cs="Times New Roman"/>
            <w:color w:val="000000"/>
            <w:sz w:val="24"/>
            <w:szCs w:val="24"/>
            <w:u w:val="none"/>
          </w:rPr>
          <w:t>3.1</w:t>
        </w:r>
      </w:hyperlink>
      <w:r>
        <w:rPr>
          <w:rStyle w:val="a3"/>
          <w:rFonts w:ascii="Tinos" w:hAnsi="Tinos" w:cs="Times New Roman"/>
          <w:color w:val="000000"/>
          <w:sz w:val="24"/>
          <w:szCs w:val="24"/>
          <w:u w:val="none"/>
        </w:rPr>
        <w:t>2-3.13 пункта  3</w:t>
      </w:r>
      <w:r>
        <w:rPr>
          <w:rFonts w:ascii="Tinos" w:hAnsi="Tinos" w:cs="Times New Roman"/>
          <w:color w:val="000000"/>
          <w:sz w:val="24"/>
          <w:szCs w:val="24"/>
        </w:rPr>
        <w:t>.</w:t>
      </w:r>
    </w:p>
    <w:p w:rsidR="00C85D3D" w:rsidRDefault="00C85D3D">
      <w:pPr>
        <w:pStyle w:val="ConsPlusNonformat"/>
        <w:jc w:val="center"/>
        <w:rPr>
          <w:rFonts w:ascii="Tinos" w:hAnsi="Tinos"/>
          <w:color w:val="000000"/>
          <w:sz w:val="24"/>
          <w:szCs w:val="24"/>
        </w:rPr>
      </w:pPr>
    </w:p>
    <w:p w:rsidR="00C85D3D" w:rsidRDefault="00C85D3D">
      <w:pPr>
        <w:pStyle w:val="ConsPlusNonformat"/>
        <w:jc w:val="center"/>
        <w:rPr>
          <w:color w:val="000000"/>
          <w:sz w:val="24"/>
          <w:szCs w:val="24"/>
        </w:rPr>
      </w:pPr>
    </w:p>
    <w:sectPr w:rsidR="00C85D3D">
      <w:pgSz w:w="11906" w:h="16838"/>
      <w:pgMar w:top="709" w:right="850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charset w:val="01"/>
    <w:family w:val="roman"/>
    <w:pitch w:val="variable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nos">
    <w:altName w:val="Times New Roman"/>
    <w:charset w:val="01"/>
    <w:family w:val="roman"/>
    <w:pitch w:val="variable"/>
  </w:font>
  <w:font w:name="SimSun;宋体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C85D3D"/>
    <w:rsid w:val="00A65DE0"/>
    <w:rsid w:val="00C8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EDD74E-1C1C-4B37-B3B9-9FB58C780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EB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D3EB6"/>
    <w:rPr>
      <w:color w:val="000080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550B53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FontStyle11">
    <w:name w:val="Font Style11"/>
    <w:qFormat/>
    <w:rsid w:val="00C242E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qFormat/>
    <w:rsid w:val="00C242E4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style21"/>
    <w:basedOn w:val="a0"/>
    <w:qFormat/>
    <w:rsid w:val="00C30B71"/>
    <w:rPr>
      <w:rFonts w:ascii="TimesNewRomanPSMT" w:hAnsi="TimesNewRomanPSMT"/>
      <w:b w:val="0"/>
      <w:bCs w:val="0"/>
      <w:i w:val="0"/>
      <w:iCs w:val="0"/>
      <w:color w:val="000000"/>
      <w:sz w:val="26"/>
      <w:szCs w:val="26"/>
    </w:rPr>
  </w:style>
  <w:style w:type="character" w:customStyle="1" w:styleId="1">
    <w:name w:val="Основной текст Знак1"/>
    <w:qFormat/>
    <w:rPr>
      <w:rFonts w:ascii="Times New Roman" w:hAnsi="Times New Roman" w:cs="Times New Roman"/>
      <w:spacing w:val="7"/>
      <w:sz w:val="23"/>
      <w:szCs w:val="23"/>
      <w:shd w:val="clear" w:color="auto" w:fill="FFFFFF"/>
    </w:rPr>
  </w:style>
  <w:style w:type="character" w:customStyle="1" w:styleId="a5">
    <w:name w:val="Основной текст Знак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26">
    <w:name w:val="Font Style26"/>
    <w:qFormat/>
    <w:rPr>
      <w:rFonts w:ascii="Times New Roman" w:hAnsi="Times New Roman" w:cs="Times New Roman"/>
      <w:sz w:val="26"/>
      <w:szCs w:val="26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Droid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Droid Sans Devanagari"/>
      <w:i/>
      <w:iCs/>
    </w:rPr>
  </w:style>
  <w:style w:type="paragraph" w:styleId="aa">
    <w:name w:val="index heading"/>
    <w:basedOn w:val="a"/>
    <w:qFormat/>
    <w:pPr>
      <w:suppressLineNumbers/>
    </w:pPr>
    <w:rPr>
      <w:rFonts w:cs="Droid Sans Devanagari"/>
    </w:rPr>
  </w:style>
  <w:style w:type="paragraph" w:styleId="ab">
    <w:name w:val="Normal (Web)"/>
    <w:basedOn w:val="a"/>
    <w:qFormat/>
    <w:pPr>
      <w:suppressAutoHyphens w:val="0"/>
      <w:spacing w:before="280" w:after="119"/>
    </w:pPr>
  </w:style>
  <w:style w:type="paragraph" w:customStyle="1" w:styleId="ConsPlusNormal">
    <w:name w:val="ConsPlusNormal"/>
    <w:uiPriority w:val="99"/>
    <w:qFormat/>
    <w:rsid w:val="001D3EB6"/>
    <w:rPr>
      <w:rFonts w:ascii="Arial" w:eastAsia="Times New Roman" w:hAnsi="Arial" w:cs="Arial"/>
      <w:szCs w:val="20"/>
      <w:lang w:eastAsia="zh-CN"/>
    </w:rPr>
  </w:style>
  <w:style w:type="paragraph" w:customStyle="1" w:styleId="ConsPlusNonformat">
    <w:name w:val="ConsPlusNonformat"/>
    <w:uiPriority w:val="99"/>
    <w:qFormat/>
    <w:rsid w:val="001D3EB6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Default">
    <w:name w:val="Default"/>
    <w:qFormat/>
    <w:rsid w:val="00515E29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Style3">
    <w:name w:val="Style3"/>
    <w:basedOn w:val="a"/>
    <w:qFormat/>
    <w:rsid w:val="00C242E4"/>
    <w:pPr>
      <w:widowControl w:val="0"/>
      <w:suppressAutoHyphens w:val="0"/>
      <w:spacing w:line="322" w:lineRule="exact"/>
      <w:ind w:firstLine="706"/>
      <w:jc w:val="both"/>
    </w:pPr>
    <w:rPr>
      <w:lang w:eastAsia="ru-RU"/>
    </w:rPr>
  </w:style>
  <w:style w:type="paragraph" w:customStyle="1" w:styleId="Style2">
    <w:name w:val="Style2"/>
    <w:basedOn w:val="a"/>
    <w:qFormat/>
    <w:rsid w:val="0001200F"/>
    <w:pPr>
      <w:widowControl w:val="0"/>
      <w:suppressAutoHyphens w:val="0"/>
      <w:spacing w:line="324" w:lineRule="exact"/>
      <w:ind w:firstLine="667"/>
    </w:pPr>
    <w:rPr>
      <w:lang w:eastAsia="ru-RU"/>
    </w:rPr>
  </w:style>
  <w:style w:type="paragraph" w:customStyle="1" w:styleId="Style7">
    <w:name w:val="Style7"/>
    <w:basedOn w:val="a"/>
    <w:qFormat/>
    <w:rsid w:val="000D263B"/>
    <w:pPr>
      <w:widowControl w:val="0"/>
      <w:suppressAutoHyphens w:val="0"/>
      <w:spacing w:line="322" w:lineRule="exact"/>
      <w:ind w:firstLine="720"/>
      <w:jc w:val="both"/>
    </w:pPr>
    <w:rPr>
      <w:lang w:eastAsia="ru-RU"/>
    </w:rPr>
  </w:style>
  <w:style w:type="paragraph" w:customStyle="1" w:styleId="Style8">
    <w:name w:val="Style8"/>
    <w:basedOn w:val="a"/>
    <w:qFormat/>
    <w:rsid w:val="000D263B"/>
    <w:pPr>
      <w:widowControl w:val="0"/>
      <w:suppressAutoHyphens w:val="0"/>
      <w:spacing w:line="322" w:lineRule="exact"/>
      <w:ind w:firstLine="629"/>
    </w:pPr>
    <w:rPr>
      <w:lang w:eastAsia="ru-RU"/>
    </w:rPr>
  </w:style>
  <w:style w:type="paragraph" w:styleId="ad">
    <w:name w:val="No Spacing"/>
    <w:uiPriority w:val="1"/>
    <w:qFormat/>
    <w:rsid w:val="00C30B71"/>
    <w:rPr>
      <w:sz w:val="24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</w:style>
  <w:style w:type="paragraph" w:customStyle="1" w:styleId="ae">
    <w:name w:val="Знак"/>
    <w:basedOn w:val="a"/>
    <w:qFormat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harChar">
    <w:name w:val="Знак Знак Char Char"/>
    <w:basedOn w:val="a"/>
    <w:qFormat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GB"/>
    </w:rPr>
  </w:style>
  <w:style w:type="numbering" w:customStyle="1" w:styleId="af">
    <w:name w:val="Без списка"/>
    <w:uiPriority w:val="99"/>
    <w:semiHidden/>
    <w:unhideWhenUsed/>
    <w:qFormat/>
  </w:style>
  <w:style w:type="table" w:styleId="af0">
    <w:name w:val="Table Grid"/>
    <w:basedOn w:val="a1"/>
    <w:rsid w:val="00C30B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3</Pages>
  <Words>1031</Words>
  <Characters>5882</Characters>
  <Application>Microsoft Office Word</Application>
  <DocSecurity>0</DocSecurity>
  <Lines>49</Lines>
  <Paragraphs>13</Paragraphs>
  <ScaleCrop>false</ScaleCrop>
  <Company/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Эконом3</dc:creator>
  <dc:description/>
  <cp:lastModifiedBy>Юлия Александровна Медведева</cp:lastModifiedBy>
  <cp:revision>50</cp:revision>
  <cp:lastPrinted>2024-11-22T13:42:00Z</cp:lastPrinted>
  <dcterms:created xsi:type="dcterms:W3CDTF">2017-10-05T05:33:00Z</dcterms:created>
  <dcterms:modified xsi:type="dcterms:W3CDTF">2026-07-09T10:38:00Z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